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EC9" w:rsidRDefault="00972270">
      <w:pPr>
        <w:pStyle w:val="Title"/>
      </w:pPr>
      <w:r>
        <w:t xml:space="preserve">BMEN E4001x: </w:t>
      </w:r>
      <w:r w:rsidR="00456EC9">
        <w:t>Quantitative Physiology I / Molecular and Cellular Systems</w:t>
      </w:r>
    </w:p>
    <w:p w:rsidR="00456EC9" w:rsidRDefault="00972270">
      <w:pPr>
        <w:jc w:val="center"/>
        <w:rPr>
          <w:b/>
        </w:rPr>
      </w:pPr>
      <w:r>
        <w:rPr>
          <w:b/>
        </w:rPr>
        <w:t>Notes 1</w:t>
      </w:r>
      <w:r w:rsidR="00405DA6">
        <w:rPr>
          <w:b/>
        </w:rPr>
        <w:t>3</w:t>
      </w:r>
      <w:r>
        <w:rPr>
          <w:b/>
        </w:rPr>
        <w:t xml:space="preserve"> –</w:t>
      </w:r>
      <w:r w:rsidR="00456EC9">
        <w:rPr>
          <w:b/>
        </w:rPr>
        <w:t xml:space="preserve"> </w:t>
      </w:r>
      <w:r>
        <w:rPr>
          <w:b/>
        </w:rPr>
        <w:t>Motors and muscles</w:t>
      </w:r>
    </w:p>
    <w:p w:rsidR="00456EC9" w:rsidRDefault="00456EC9">
      <w:pPr>
        <w:pStyle w:val="Heading1"/>
      </w:pPr>
      <w:r>
        <w:t>Sources for this section:</w:t>
      </w:r>
    </w:p>
    <w:p w:rsidR="00456EC9" w:rsidRDefault="003A56BC">
      <w:r>
        <w:t>B&amp;B: Chapter 9</w:t>
      </w:r>
    </w:p>
    <w:p w:rsidR="00456EC9" w:rsidRDefault="00456EC9">
      <w:r>
        <w:t>Nelson: Section 10.4</w:t>
      </w:r>
    </w:p>
    <w:p w:rsidR="00456EC9" w:rsidRDefault="00456EC9">
      <w:pPr>
        <w:pStyle w:val="Heading1"/>
      </w:pPr>
      <w:r>
        <w:t>Tubulin - kinesin:</w:t>
      </w:r>
    </w:p>
    <w:p w:rsidR="00456EC9" w:rsidRDefault="00456EC9">
      <w:pPr>
        <w:pStyle w:val="LectureNotesNormal"/>
        <w:ind w:left="0" w:firstLine="0"/>
      </w:pPr>
      <w:r>
        <w:t>(We’ll focus on kinesin, as it is better understood)</w:t>
      </w:r>
    </w:p>
    <w:p w:rsidR="00456EC9" w:rsidRDefault="00BC0E09">
      <w:pPr>
        <w:pStyle w:val="LectureNotesNormal"/>
        <w:ind w:left="0" w:firstLine="0"/>
      </w:pPr>
      <w:r>
        <w:rPr>
          <w:noProof/>
        </w:rPr>
        <w:drawing>
          <wp:inline distT="0" distB="0" distL="0" distR="0">
            <wp:extent cx="5486400" cy="29686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96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EC9" w:rsidRDefault="00456EC9">
      <w:pPr>
        <w:pStyle w:val="LectureNotesNormal"/>
        <w:ind w:left="0" w:firstLine="0"/>
      </w:pPr>
      <w:r>
        <w:t xml:space="preserve">With ATP, kinesin moves one step along microtubule (~8nm), even with large loads. </w:t>
      </w:r>
      <w:proofErr w:type="gramStart"/>
      <w:r>
        <w:t>Suggests tight coupling between motor protein and microtubule.</w:t>
      </w:r>
      <w:proofErr w:type="gramEnd"/>
      <w:r>
        <w:t xml:space="preserve">  As a chemical reaction, can expressed as</w:t>
      </w:r>
    </w:p>
    <w:p w:rsidR="00456EC9" w:rsidRDefault="00456EC9">
      <w:pPr>
        <w:pStyle w:val="Equations"/>
      </w:pPr>
      <w:r>
        <w:rPr>
          <w:position w:val="-6"/>
        </w:rPr>
        <w:object w:dxaOrig="43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9.15pt;height:14.4pt" o:ole="">
            <v:imagedata r:id="rId7" o:title=""/>
          </v:shape>
          <o:OLEObject Type="Embed" ProgID="Equation.3" ShapeID="_x0000_i1025" DrawAspect="Content" ObjectID="_1636637432" r:id="rId8"/>
        </w:object>
      </w:r>
    </w:p>
    <w:p w:rsidR="00456EC9" w:rsidRDefault="00456EC9">
      <w:pPr>
        <w:pStyle w:val="LectureNotesNormal"/>
        <w:ind w:left="0" w:firstLine="0"/>
      </w:pPr>
      <w:proofErr w:type="gramStart"/>
      <w:r>
        <w:t>and</w:t>
      </w:r>
      <w:proofErr w:type="gramEnd"/>
      <w:r>
        <w:t xml:space="preserve"> in this respect, is an enzymatic reaction. Let’s look a bit closer, first by rewriting as:</w:t>
      </w:r>
    </w:p>
    <w:p w:rsidR="00456EC9" w:rsidRDefault="00456EC9">
      <w:pPr>
        <w:pStyle w:val="Equations"/>
      </w:pPr>
      <w:r>
        <w:rPr>
          <w:position w:val="-40"/>
        </w:rPr>
        <w:object w:dxaOrig="6900" w:dyaOrig="920">
          <v:shape id="_x0000_i1026" type="#_x0000_t75" style="width:344.95pt;height:45.7pt" o:ole="">
            <v:imagedata r:id="rId9" o:title=""/>
          </v:shape>
          <o:OLEObject Type="Embed" ProgID="Equation.3" ShapeID="_x0000_i1026" DrawAspect="Content" ObjectID="_1636637433" r:id="rId10"/>
        </w:object>
      </w:r>
    </w:p>
    <w:p w:rsidR="00456EC9" w:rsidRDefault="00456EC9">
      <w:pPr>
        <w:pStyle w:val="LectureNotesNormal"/>
      </w:pPr>
      <w:r>
        <w:t>ATP binding is purely chemical, but there is a power stroke that accompanies hydrolysis.</w:t>
      </w:r>
    </w:p>
    <w:p w:rsidR="00456EC9" w:rsidRDefault="00456EC9">
      <w:pPr>
        <w:pStyle w:val="LectureNotesNormal"/>
      </w:pPr>
      <w:r>
        <w:t>This would suggest a MM-type response with respect to ATP, and indeed, it is superficially seen to be true.</w:t>
      </w:r>
    </w:p>
    <w:p w:rsidR="00456EC9" w:rsidRDefault="00BC0E09">
      <w:pPr>
        <w:pStyle w:val="Equations"/>
      </w:pPr>
      <w:r>
        <w:rPr>
          <w:noProof/>
        </w:rPr>
        <w:lastRenderedPageBreak/>
        <w:drawing>
          <wp:inline distT="0" distB="0" distL="0" distR="0">
            <wp:extent cx="4227830" cy="2101850"/>
            <wp:effectExtent l="0" t="0" r="127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7830" cy="210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EC9" w:rsidRDefault="00456EC9">
      <w:pPr>
        <w:pStyle w:val="LectureNotesNormal"/>
      </w:pPr>
    </w:p>
    <w:p w:rsidR="00456EC9" w:rsidRDefault="00456EC9">
      <w:pPr>
        <w:pStyle w:val="LectureNotesNormal"/>
      </w:pPr>
      <w:r>
        <w:t>The different lines indicate different loads. Each load exhibits MM-type behavior, as seen from both types of plots. (</w:t>
      </w:r>
      <w:proofErr w:type="gramStart"/>
      <w:r>
        <w:t>slope=</w:t>
      </w:r>
      <w:proofErr w:type="gramEnd"/>
      <w:r>
        <w:t>K</w:t>
      </w:r>
      <w:r>
        <w:rPr>
          <w:vertAlign w:val="subscript"/>
        </w:rPr>
        <w:t>M</w:t>
      </w:r>
      <w:r>
        <w:t>/</w:t>
      </w:r>
      <w:proofErr w:type="spellStart"/>
      <w:r>
        <w:t>vmax</w:t>
      </w:r>
      <w:proofErr w:type="spellEnd"/>
      <w:r>
        <w:t>). Something is wrong here when we look at the inclusion of motion, however. Let’s start with some actual values:</w:t>
      </w: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44"/>
        <w:gridCol w:w="1956"/>
        <w:gridCol w:w="1620"/>
      </w:tblGrid>
      <w:tr w:rsidR="00456EC9">
        <w:tc>
          <w:tcPr>
            <w:tcW w:w="1644" w:type="dxa"/>
          </w:tcPr>
          <w:p w:rsidR="00456EC9" w:rsidRDefault="00456EC9">
            <w:pPr>
              <w:pStyle w:val="LectureNotesNormal"/>
              <w:ind w:left="0" w:firstLine="0"/>
            </w:pPr>
            <w:r>
              <w:t xml:space="preserve">load, </w:t>
            </w:r>
            <w:proofErr w:type="spellStart"/>
            <w:r>
              <w:t>pN</w:t>
            </w:r>
            <w:proofErr w:type="spellEnd"/>
          </w:p>
        </w:tc>
        <w:tc>
          <w:tcPr>
            <w:tcW w:w="1956" w:type="dxa"/>
          </w:tcPr>
          <w:p w:rsidR="00456EC9" w:rsidRDefault="00456EC9">
            <w:pPr>
              <w:pStyle w:val="LectureNotesNormal"/>
              <w:ind w:left="0" w:firstLine="0"/>
            </w:pPr>
            <w:proofErr w:type="spellStart"/>
            <w:r>
              <w:t>v</w:t>
            </w:r>
            <w:r>
              <w:rPr>
                <w:vertAlign w:val="subscript"/>
              </w:rPr>
              <w:t>max</w:t>
            </w:r>
            <w:proofErr w:type="spellEnd"/>
            <w:r>
              <w:t>, nm/s</w:t>
            </w:r>
          </w:p>
        </w:tc>
        <w:tc>
          <w:tcPr>
            <w:tcW w:w="1620" w:type="dxa"/>
          </w:tcPr>
          <w:p w:rsidR="00456EC9" w:rsidRDefault="00456EC9">
            <w:pPr>
              <w:pStyle w:val="LectureNotesNormal"/>
              <w:ind w:left="0" w:firstLine="0"/>
            </w:pPr>
            <w:r>
              <w:t>K</w:t>
            </w:r>
            <w:r>
              <w:rPr>
                <w:vertAlign w:val="subscript"/>
              </w:rPr>
              <w:t>M</w:t>
            </w:r>
            <w:r>
              <w:t xml:space="preserve">, </w:t>
            </w:r>
            <w:r>
              <w:sym w:font="Symbol" w:char="F06D"/>
            </w:r>
            <w:r>
              <w:t>M</w:t>
            </w:r>
          </w:p>
        </w:tc>
      </w:tr>
      <w:tr w:rsidR="00456EC9">
        <w:tc>
          <w:tcPr>
            <w:tcW w:w="1644" w:type="dxa"/>
          </w:tcPr>
          <w:p w:rsidR="00456EC9" w:rsidRDefault="00456EC9">
            <w:pPr>
              <w:pStyle w:val="LectureNotesNormal"/>
              <w:ind w:left="0" w:firstLine="0"/>
            </w:pPr>
            <w:r>
              <w:t>1.05</w:t>
            </w:r>
          </w:p>
        </w:tc>
        <w:tc>
          <w:tcPr>
            <w:tcW w:w="1956" w:type="dxa"/>
          </w:tcPr>
          <w:p w:rsidR="00456EC9" w:rsidRDefault="00456EC9">
            <w:pPr>
              <w:pStyle w:val="LectureNotesNormal"/>
              <w:ind w:left="0" w:firstLine="0"/>
            </w:pPr>
            <w:r>
              <w:t>813</w:t>
            </w:r>
            <w:r>
              <w:sym w:font="Symbol" w:char="F0B1"/>
            </w:r>
            <w:r>
              <w:t>28</w:t>
            </w:r>
          </w:p>
        </w:tc>
        <w:tc>
          <w:tcPr>
            <w:tcW w:w="1620" w:type="dxa"/>
          </w:tcPr>
          <w:p w:rsidR="00456EC9" w:rsidRDefault="00456EC9">
            <w:pPr>
              <w:pStyle w:val="LectureNotesNormal"/>
              <w:ind w:left="0" w:firstLine="0"/>
            </w:pPr>
            <w:r>
              <w:t>88</w:t>
            </w:r>
            <w:r>
              <w:sym w:font="Symbol" w:char="F0B1"/>
            </w:r>
            <w:r>
              <w:t>7</w:t>
            </w:r>
          </w:p>
        </w:tc>
      </w:tr>
      <w:tr w:rsidR="00456EC9">
        <w:tc>
          <w:tcPr>
            <w:tcW w:w="1644" w:type="dxa"/>
          </w:tcPr>
          <w:p w:rsidR="00456EC9" w:rsidRDefault="00456EC9">
            <w:pPr>
              <w:pStyle w:val="LectureNotesNormal"/>
              <w:ind w:left="0" w:firstLine="0"/>
            </w:pPr>
            <w:r>
              <w:t>3.6</w:t>
            </w:r>
          </w:p>
        </w:tc>
        <w:tc>
          <w:tcPr>
            <w:tcW w:w="1956" w:type="dxa"/>
          </w:tcPr>
          <w:p w:rsidR="00456EC9" w:rsidRDefault="00456EC9">
            <w:pPr>
              <w:pStyle w:val="LectureNotesNormal"/>
              <w:ind w:left="0" w:firstLine="0"/>
            </w:pPr>
            <w:r>
              <w:t>715</w:t>
            </w:r>
            <w:r>
              <w:sym w:font="Symbol" w:char="F0B1"/>
            </w:r>
            <w:r>
              <w:t>19</w:t>
            </w:r>
          </w:p>
        </w:tc>
        <w:tc>
          <w:tcPr>
            <w:tcW w:w="1620" w:type="dxa"/>
          </w:tcPr>
          <w:p w:rsidR="00456EC9" w:rsidRDefault="00456EC9">
            <w:pPr>
              <w:pStyle w:val="LectureNotesNormal"/>
              <w:ind w:left="0" w:firstLine="0"/>
            </w:pPr>
            <w:r>
              <w:t>140</w:t>
            </w:r>
            <w:r>
              <w:sym w:font="Symbol" w:char="F0B1"/>
            </w:r>
            <w:r>
              <w:t>6</w:t>
            </w:r>
          </w:p>
        </w:tc>
      </w:tr>
      <w:tr w:rsidR="00456EC9">
        <w:tc>
          <w:tcPr>
            <w:tcW w:w="1644" w:type="dxa"/>
          </w:tcPr>
          <w:p w:rsidR="00456EC9" w:rsidRDefault="00456EC9">
            <w:pPr>
              <w:pStyle w:val="LectureNotesNormal"/>
              <w:ind w:left="0" w:firstLine="0"/>
            </w:pPr>
            <w:r>
              <w:t>5.6</w:t>
            </w:r>
          </w:p>
        </w:tc>
        <w:tc>
          <w:tcPr>
            <w:tcW w:w="1956" w:type="dxa"/>
          </w:tcPr>
          <w:p w:rsidR="00456EC9" w:rsidRDefault="00456EC9">
            <w:pPr>
              <w:pStyle w:val="LectureNotesNormal"/>
              <w:ind w:left="0" w:firstLine="0"/>
            </w:pPr>
            <w:r>
              <w:t>404</w:t>
            </w:r>
            <w:r>
              <w:sym w:font="Symbol" w:char="F0B1"/>
            </w:r>
            <w:r>
              <w:t>32</w:t>
            </w:r>
          </w:p>
        </w:tc>
        <w:tc>
          <w:tcPr>
            <w:tcW w:w="1620" w:type="dxa"/>
          </w:tcPr>
          <w:p w:rsidR="00456EC9" w:rsidRDefault="00456EC9">
            <w:pPr>
              <w:pStyle w:val="LectureNotesNormal"/>
              <w:ind w:left="0" w:firstLine="0"/>
            </w:pPr>
            <w:r>
              <w:t>312</w:t>
            </w:r>
            <w:r>
              <w:sym w:font="Symbol" w:char="F0B1"/>
            </w:r>
            <w:r>
              <w:t>49</w:t>
            </w:r>
          </w:p>
        </w:tc>
      </w:tr>
    </w:tbl>
    <w:p w:rsidR="00456EC9" w:rsidRDefault="00456EC9">
      <w:pPr>
        <w:pStyle w:val="LectureNotesNormal"/>
        <w:ind w:left="0" w:firstLine="0"/>
      </w:pPr>
    </w:p>
    <w:p w:rsidR="00456EC9" w:rsidRDefault="00456EC9">
      <w:pPr>
        <w:pStyle w:val="LectureNotesNormal"/>
      </w:pPr>
      <w:r>
        <w:t xml:space="preserve">One would expect that increased load will decrease speed. All engineers should recognize this from working with motors of any sort. Indeed, </w:t>
      </w:r>
      <w:proofErr w:type="spellStart"/>
      <w:r>
        <w:t>vmax</w:t>
      </w:r>
      <w:proofErr w:type="spellEnd"/>
      <w:r>
        <w:t xml:space="preserve"> decreases.</w:t>
      </w:r>
    </w:p>
    <w:p w:rsidR="00456EC9" w:rsidRDefault="00456EC9">
      <w:pPr>
        <w:pStyle w:val="LectureNotesNormal"/>
      </w:pPr>
      <w:r>
        <w:t xml:space="preserve">A fair model would be that this affects </w:t>
      </w:r>
      <w:proofErr w:type="gramStart"/>
      <w:r>
        <w:t>k</w:t>
      </w:r>
      <w:r>
        <w:rPr>
          <w:vertAlign w:val="subscript"/>
        </w:rPr>
        <w:t>2</w:t>
      </w:r>
      <w:proofErr w:type="gramEnd"/>
      <w:r>
        <w:t>, slowing down that progress.</w:t>
      </w:r>
    </w:p>
    <w:p w:rsidR="00456EC9" w:rsidRDefault="00456EC9">
      <w:pPr>
        <w:pStyle w:val="LectureNotesNormal"/>
      </w:pPr>
      <w:r>
        <w:t xml:space="preserve">Going back to the </w:t>
      </w:r>
      <w:proofErr w:type="spellStart"/>
      <w:r>
        <w:t>Michaelis-Menten</w:t>
      </w:r>
      <w:proofErr w:type="spellEnd"/>
      <w:r>
        <w:t xml:space="preserve"> model, </w:t>
      </w:r>
    </w:p>
    <w:p w:rsidR="00456EC9" w:rsidRDefault="00456EC9">
      <w:pPr>
        <w:pStyle w:val="Equations"/>
      </w:pPr>
      <w:r>
        <w:rPr>
          <w:position w:val="-30"/>
        </w:rPr>
        <w:object w:dxaOrig="1680" w:dyaOrig="700">
          <v:shape id="_x0000_i1027" type="#_x0000_t75" style="width:83.9pt;height:35.05pt" o:ole="">
            <v:imagedata r:id="rId12" o:title=""/>
          </v:shape>
          <o:OLEObject Type="Embed" ProgID="Equation.3" ShapeID="_x0000_i1027" DrawAspect="Content" ObjectID="_1636637434" r:id="rId13"/>
        </w:object>
      </w:r>
    </w:p>
    <w:p w:rsidR="00456EC9" w:rsidRDefault="00456EC9">
      <w:pPr>
        <w:pStyle w:val="LectureNotesNormal"/>
      </w:pPr>
      <w:r>
        <w:t xml:space="preserve">Decreasing </w:t>
      </w:r>
      <w:proofErr w:type="gramStart"/>
      <w:r>
        <w:t>k</w:t>
      </w:r>
      <w:r>
        <w:rPr>
          <w:vertAlign w:val="subscript"/>
        </w:rPr>
        <w:t>2</w:t>
      </w:r>
      <w:proofErr w:type="gramEnd"/>
      <w:r>
        <w:t xml:space="preserve"> should decrease K</w:t>
      </w:r>
      <w:r>
        <w:rPr>
          <w:vertAlign w:val="subscript"/>
        </w:rPr>
        <w:t>M</w:t>
      </w:r>
      <w:r>
        <w:t>; contrary to observations. More complex situation, it seems.</w:t>
      </w:r>
    </w:p>
    <w:p w:rsidR="00456EC9" w:rsidRDefault="00456EC9">
      <w:pPr>
        <w:pStyle w:val="Heading2"/>
      </w:pPr>
      <w:proofErr w:type="gramStart"/>
      <w:r>
        <w:t xml:space="preserve">Discussion from Nelson, section 10.4, based on mid-1990’s analysis from the Block lab (while still at </w:t>
      </w:r>
      <w:smartTag w:uri="urn:schemas-microsoft-com:office:smarttags" w:element="place">
        <w:r>
          <w:t>Princeton</w:t>
        </w:r>
      </w:smartTag>
      <w:r>
        <w:t>).</w:t>
      </w:r>
      <w:proofErr w:type="gramEnd"/>
    </w:p>
    <w:p w:rsidR="00456EC9" w:rsidRDefault="00456EC9">
      <w:pPr>
        <w:pStyle w:val="LectureNotesNormal"/>
      </w:pPr>
      <w:r>
        <w:t xml:space="preserve">Facts about kinesin, ATP, </w:t>
      </w:r>
      <w:smartTag w:uri="urn:schemas-microsoft-com:office:smarttags" w:element="stockticker">
        <w:r>
          <w:t>ADP</w:t>
        </w:r>
      </w:smartTag>
      <w:r>
        <w:t>, and myosin:</w:t>
      </w:r>
    </w:p>
    <w:p w:rsidR="00456EC9" w:rsidRDefault="00456EC9">
      <w:pPr>
        <w:pStyle w:val="LectureNotesNormal"/>
      </w:pPr>
      <w:r>
        <w:t>Double-headed kinesin is a little too short to span one monomer, but can with some induced strain.</w:t>
      </w:r>
    </w:p>
    <w:p w:rsidR="00456EC9" w:rsidRDefault="00456EC9">
      <w:pPr>
        <w:pStyle w:val="LectureNotesNormal"/>
      </w:pPr>
      <w:r>
        <w:t xml:space="preserve">At the interface of the linkers and each head, binding site for nucleotide; in either unoccupied or </w:t>
      </w:r>
      <w:smartTag w:uri="urn:schemas-microsoft-com:office:smarttags" w:element="stockticker">
        <w:r>
          <w:t>ADP</w:t>
        </w:r>
      </w:smartTag>
      <w:r>
        <w:t xml:space="preserve"> bound, the link is floppy. With ATP bound, it is strained and pushes molecule towards “+” end of microtubule.</w:t>
      </w:r>
    </w:p>
    <w:p w:rsidR="00456EC9" w:rsidRDefault="00456EC9">
      <w:pPr>
        <w:pStyle w:val="LectureNotesNormal"/>
      </w:pPr>
      <w:r>
        <w:t>Kinesin binds ATP strongly, hydrolyses quickly.</w:t>
      </w:r>
    </w:p>
    <w:p w:rsidR="00456EC9" w:rsidRDefault="00456EC9">
      <w:pPr>
        <w:pStyle w:val="LectureNotesNormal"/>
      </w:pPr>
      <w:r>
        <w:t>Kinesin without bound nucleotide binds microtubules strongly</w:t>
      </w:r>
    </w:p>
    <w:p w:rsidR="00456EC9" w:rsidRDefault="00456EC9">
      <w:pPr>
        <w:pStyle w:val="LectureNotesNormal"/>
      </w:pPr>
      <w:r>
        <w:t>microtubule-kinesin-</w:t>
      </w:r>
      <w:smartTag w:uri="urn:schemas-microsoft-com:office:smarttags" w:element="stockticker">
        <w:r>
          <w:t>ADP</w:t>
        </w:r>
      </w:smartTag>
      <w:r>
        <w:t xml:space="preserve"> complex only weakly bound; steric hindrance or allosteric inhibition of simultaneous microtubule and </w:t>
      </w:r>
      <w:smartTag w:uri="urn:schemas-microsoft-com:office:smarttags" w:element="stockticker">
        <w:r>
          <w:t>ADP</w:t>
        </w:r>
      </w:smartTag>
      <w:r>
        <w:t xml:space="preserve"> binding.</w:t>
      </w:r>
    </w:p>
    <w:p w:rsidR="00456EC9" w:rsidRDefault="00456EC9">
      <w:pPr>
        <w:pStyle w:val="LectureNotesNormal"/>
      </w:pPr>
      <w:r>
        <w:lastRenderedPageBreak/>
        <w:t xml:space="preserve">Oddly, kinesin with 2 ADPs bound binds readily with microtubule, but only releases half of the </w:t>
      </w:r>
      <w:smartTag w:uri="urn:schemas-microsoft-com:office:smarttags" w:element="stockticker">
        <w:r>
          <w:t>ADP</w:t>
        </w:r>
      </w:smartTag>
      <w:r>
        <w:t xml:space="preserve">. On addition of ATP, the other half of </w:t>
      </w:r>
      <w:smartTag w:uri="urn:schemas-microsoft-com:office:smarttags" w:element="stockticker">
        <w:r>
          <w:t>ADP</w:t>
        </w:r>
      </w:smartTag>
      <w:r>
        <w:t xml:space="preserve"> is released. This also works if the analogue AMP-</w:t>
      </w:r>
      <w:smartTag w:uri="urn:schemas-microsoft-com:office:smarttags" w:element="stockticker">
        <w:r>
          <w:t>PNP</w:t>
        </w:r>
      </w:smartTag>
      <w:r>
        <w:t xml:space="preserve"> is used instead of ATP; hydrolysis has nothing to do with the </w:t>
      </w:r>
      <w:smartTag w:uri="urn:schemas-microsoft-com:office:smarttags" w:element="stockticker">
        <w:r>
          <w:t>ADP</w:t>
        </w:r>
      </w:smartTag>
      <w:r>
        <w:t xml:space="preserve"> release.</w:t>
      </w:r>
    </w:p>
    <w:p w:rsidR="00456EC9" w:rsidRDefault="00456EC9">
      <w:pPr>
        <w:pStyle w:val="LectureNotesNormal"/>
        <w:ind w:left="0" w:firstLine="0"/>
      </w:pPr>
    </w:p>
    <w:p w:rsidR="00456EC9" w:rsidRDefault="00BC0E09">
      <w:pPr>
        <w:pStyle w:val="Equations"/>
      </w:pPr>
      <w:r>
        <w:rPr>
          <w:noProof/>
        </w:rPr>
        <w:drawing>
          <wp:inline distT="0" distB="0" distL="0" distR="0">
            <wp:extent cx="3883025" cy="2945130"/>
            <wp:effectExtent l="0" t="0" r="3175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3025" cy="294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EC9" w:rsidRDefault="00456EC9">
      <w:pPr>
        <w:pStyle w:val="LectureNotesNormal"/>
      </w:pPr>
      <w:r>
        <w:t>Flowchart and descriptions as in Nelson.</w:t>
      </w:r>
    </w:p>
    <w:p w:rsidR="00456EC9" w:rsidRDefault="00456EC9">
      <w:pPr>
        <w:pStyle w:val="LectureNotesNormal"/>
      </w:pPr>
      <w:r>
        <w:t>Note that ATP really comes in between the stages labeled E and ES</w:t>
      </w:r>
      <w:r>
        <w:rPr>
          <w:vertAlign w:val="subscript"/>
        </w:rPr>
        <w:t>1</w:t>
      </w:r>
      <w:r>
        <w:t>. Thus, the transition k</w:t>
      </w:r>
      <w:r>
        <w:rPr>
          <w:vertAlign w:val="subscript"/>
        </w:rPr>
        <w:t>1</w:t>
      </w:r>
      <w:r>
        <w:t xml:space="preserve"> from before corresponds to E to ES</w:t>
      </w:r>
      <w:r>
        <w:rPr>
          <w:vertAlign w:val="subscript"/>
        </w:rPr>
        <w:t>1</w:t>
      </w:r>
      <w:r>
        <w:t xml:space="preserve"> transition.  Consequentially, moving through ES</w:t>
      </w:r>
      <w:r>
        <w:rPr>
          <w:vertAlign w:val="subscript"/>
        </w:rPr>
        <w:t>1</w:t>
      </w:r>
      <w:r>
        <w:rPr>
          <w:vertAlign w:val="superscript"/>
        </w:rPr>
        <w:t>’</w:t>
      </w:r>
      <w:r>
        <w:t xml:space="preserve"> through ES</w:t>
      </w:r>
      <w:r>
        <w:rPr>
          <w:vertAlign w:val="subscript"/>
        </w:rPr>
        <w:t>2</w:t>
      </w:r>
      <w:r>
        <w:t xml:space="preserve"> and ES</w:t>
      </w:r>
      <w:r>
        <w:rPr>
          <w:vertAlign w:val="subscript"/>
        </w:rPr>
        <w:t>3</w:t>
      </w:r>
      <w:r>
        <w:t>, all of which are unidirectional and fast, corresponds to going through k</w:t>
      </w:r>
      <w:r>
        <w:rPr>
          <w:vertAlign w:val="subscript"/>
        </w:rPr>
        <w:t>2</w:t>
      </w:r>
      <w:r>
        <w:t>.</w:t>
      </w:r>
    </w:p>
    <w:p w:rsidR="00456EC9" w:rsidRDefault="00456EC9">
      <w:pPr>
        <w:pStyle w:val="LectureNotesNormal"/>
      </w:pPr>
      <w:r>
        <w:t>Consider ES</w:t>
      </w:r>
      <w:r>
        <w:rPr>
          <w:vertAlign w:val="subscript"/>
        </w:rPr>
        <w:t>1</w:t>
      </w:r>
      <w:r>
        <w:t xml:space="preserve"> and ES</w:t>
      </w:r>
      <w:r>
        <w:rPr>
          <w:vertAlign w:val="subscript"/>
        </w:rPr>
        <w:t>1</w:t>
      </w:r>
      <w:r>
        <w:rPr>
          <w:vertAlign w:val="superscript"/>
        </w:rPr>
        <w:t>’</w:t>
      </w:r>
      <w:r>
        <w:t xml:space="preserve"> as a single composite state.</w:t>
      </w:r>
    </w:p>
    <w:p w:rsidR="00456EC9" w:rsidRDefault="00456EC9">
      <w:pPr>
        <w:pStyle w:val="LectureNotesNormal"/>
      </w:pPr>
      <w:r>
        <w:t>The argument is that ES1 and ES1’ are nearly in equilibrium. Thus, more time spent in ES1 lowers k</w:t>
      </w:r>
      <w:r>
        <w:rPr>
          <w:vertAlign w:val="subscript"/>
        </w:rPr>
        <w:t>2</w:t>
      </w:r>
      <w:r>
        <w:t xml:space="preserve"> (leaving composite state).  More time spent in ES1’ lower probability of reverse reaction, k</w:t>
      </w:r>
      <w:r>
        <w:rPr>
          <w:vertAlign w:val="subscript"/>
        </w:rPr>
        <w:t>-1</w:t>
      </w:r>
      <w:r>
        <w:t>.</w:t>
      </w:r>
    </w:p>
    <w:p w:rsidR="00456EC9" w:rsidRDefault="00456EC9">
      <w:pPr>
        <w:pStyle w:val="LectureNotesNormal"/>
      </w:pPr>
      <w:r>
        <w:t xml:space="preserve">Modification of k-1, allowed in this model in absence of a power stroke, may allow altering of both </w:t>
      </w:r>
      <w:proofErr w:type="spellStart"/>
      <w:r>
        <w:t>vmax</w:t>
      </w:r>
      <w:proofErr w:type="spellEnd"/>
      <w:r>
        <w:t xml:space="preserve"> and KM in the manner suggested by the data.  That is, if k</w:t>
      </w:r>
      <w:r>
        <w:softHyphen/>
        <w:t xml:space="preserve">-1 is </w:t>
      </w:r>
      <w:r w:rsidR="009F0DC3">
        <w:t xml:space="preserve">lowered more than </w:t>
      </w:r>
      <w:proofErr w:type="gramStart"/>
      <w:r w:rsidR="009F0DC3">
        <w:t>k2</w:t>
      </w:r>
      <w:proofErr w:type="gramEnd"/>
      <w:r w:rsidR="009F0DC3">
        <w:t xml:space="preserve"> is raised</w:t>
      </w:r>
      <w:bookmarkStart w:id="0" w:name="_GoBack"/>
      <w:bookmarkEnd w:id="0"/>
      <w:r>
        <w:t xml:space="preserve">, </w:t>
      </w:r>
      <w:proofErr w:type="spellStart"/>
      <w:r>
        <w:t>v</w:t>
      </w:r>
      <w:r>
        <w:rPr>
          <w:vertAlign w:val="subscript"/>
        </w:rPr>
        <w:t>max</w:t>
      </w:r>
      <w:proofErr w:type="spellEnd"/>
      <w:r>
        <w:t xml:space="preserve"> can go up, and K</w:t>
      </w:r>
      <w:r>
        <w:rPr>
          <w:vertAlign w:val="subscript"/>
        </w:rPr>
        <w:t>M</w:t>
      </w:r>
      <w:r>
        <w:t xml:space="preserve"> can go down.</w:t>
      </w:r>
    </w:p>
    <w:p w:rsidR="00456EC9" w:rsidRDefault="00456EC9">
      <w:pPr>
        <w:pStyle w:val="LectureNotesNormal"/>
      </w:pPr>
      <w:r>
        <w:t>The driving force for this equilibrium is sort of a power stroke, the energy needed to go between the ES</w:t>
      </w:r>
      <w:r>
        <w:rPr>
          <w:vertAlign w:val="subscript"/>
        </w:rPr>
        <w:t>1</w:t>
      </w:r>
      <w:r>
        <w:t xml:space="preserve"> and ES</w:t>
      </w:r>
      <w:r>
        <w:rPr>
          <w:vertAlign w:val="subscript"/>
        </w:rPr>
        <w:t>1</w:t>
      </w:r>
      <w:r>
        <w:rPr>
          <w:vertAlign w:val="superscript"/>
        </w:rPr>
        <w:t>’</w:t>
      </w:r>
      <w:r>
        <w:t xml:space="preserve">, which includes force over distance. Namely, </w:t>
      </w:r>
      <w:r>
        <w:sym w:font="Symbol" w:char="F044"/>
      </w:r>
      <w:r>
        <w:t>G=(isomerization energy) +F*l.  with an isomerization energy of –5k</w:t>
      </w:r>
      <w:r>
        <w:rPr>
          <w:vertAlign w:val="subscript"/>
        </w:rPr>
        <w:t>B</w:t>
      </w:r>
      <w:r>
        <w:t>T, F as dictated by experiment, and l=4nm, the shown fits are achieved.</w:t>
      </w:r>
    </w:p>
    <w:p w:rsidR="00456EC9" w:rsidRDefault="00456EC9">
      <w:pPr>
        <w:pStyle w:val="LectureNotesNormal"/>
      </w:pPr>
      <w:r>
        <w:t>This model draws a link between tight binding and the two headed-ness of kinesin. This tight coupling is not always needed; in fact, 1 headed kinesin will also move along a microtubule, but exhibits some slippage. This motion in based on the idea of a Brownian ratchet, discussed in a number of texts, including Nelson. For those students looking to go into biophysics, very important idea, but I’ll leave it out of this class.</w:t>
      </w:r>
    </w:p>
    <w:p w:rsidR="00456EC9" w:rsidRDefault="00456EC9">
      <w:pPr>
        <w:pStyle w:val="Heading1"/>
      </w:pPr>
      <w:r>
        <w:lastRenderedPageBreak/>
        <w:t>Actin:</w:t>
      </w:r>
    </w:p>
    <w:p w:rsidR="00456EC9" w:rsidRDefault="00456EC9">
      <w:pPr>
        <w:pStyle w:val="LectureNotesNormal"/>
      </w:pPr>
      <w:r>
        <w:t xml:space="preserve">The molecular motor for actin actually does exhibit this slippage! This is myosin. The slides template how myosin/actin interact – </w:t>
      </w:r>
      <w:proofErr w:type="spellStart"/>
      <w:r>
        <w:t>crossbridge</w:t>
      </w:r>
      <w:proofErr w:type="spellEnd"/>
      <w:r>
        <w:t xml:space="preserve"> theory.</w:t>
      </w:r>
    </w:p>
    <w:p w:rsidR="00456EC9" w:rsidRDefault="00D45D06">
      <w:pPr>
        <w:pStyle w:val="Heading1"/>
      </w:pPr>
      <w:r>
        <w:t>(no additional material here; directly from B&amp;B)</w:t>
      </w:r>
    </w:p>
    <w:sectPr w:rsidR="00456EC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03D5"/>
    <w:multiLevelType w:val="hybridMultilevel"/>
    <w:tmpl w:val="6B5068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770488"/>
    <w:multiLevelType w:val="hybridMultilevel"/>
    <w:tmpl w:val="ECAC1D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1E179E"/>
    <w:multiLevelType w:val="hybridMultilevel"/>
    <w:tmpl w:val="6ED45A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0813A4"/>
    <w:multiLevelType w:val="hybridMultilevel"/>
    <w:tmpl w:val="64989C8E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117B4054"/>
    <w:multiLevelType w:val="hybridMultilevel"/>
    <w:tmpl w:val="14846E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980918"/>
    <w:multiLevelType w:val="hybridMultilevel"/>
    <w:tmpl w:val="06DCA0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59087E"/>
    <w:multiLevelType w:val="hybridMultilevel"/>
    <w:tmpl w:val="D5B652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CD5EA4"/>
    <w:multiLevelType w:val="hybridMultilevel"/>
    <w:tmpl w:val="F64ECA1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A5F41FF"/>
    <w:multiLevelType w:val="hybridMultilevel"/>
    <w:tmpl w:val="2ED407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551758"/>
    <w:multiLevelType w:val="hybridMultilevel"/>
    <w:tmpl w:val="8F506C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916897"/>
    <w:multiLevelType w:val="hybridMultilevel"/>
    <w:tmpl w:val="8B362E6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09A537E"/>
    <w:multiLevelType w:val="hybridMultilevel"/>
    <w:tmpl w:val="BD144D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A27970"/>
    <w:multiLevelType w:val="hybridMultilevel"/>
    <w:tmpl w:val="3D2414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C32CC4"/>
    <w:multiLevelType w:val="hybridMultilevel"/>
    <w:tmpl w:val="53041D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933312"/>
    <w:multiLevelType w:val="hybridMultilevel"/>
    <w:tmpl w:val="E2184B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23B1D85"/>
    <w:multiLevelType w:val="hybridMultilevel"/>
    <w:tmpl w:val="69D6CD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3868AE"/>
    <w:multiLevelType w:val="hybridMultilevel"/>
    <w:tmpl w:val="3FB46428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7">
    <w:nsid w:val="47B233EA"/>
    <w:multiLevelType w:val="hybridMultilevel"/>
    <w:tmpl w:val="B4F0F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991B28"/>
    <w:multiLevelType w:val="hybridMultilevel"/>
    <w:tmpl w:val="EF16BE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3D14DC9"/>
    <w:multiLevelType w:val="hybridMultilevel"/>
    <w:tmpl w:val="A3DE18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B035870"/>
    <w:multiLevelType w:val="hybridMultilevel"/>
    <w:tmpl w:val="0180E5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CD40664"/>
    <w:multiLevelType w:val="hybridMultilevel"/>
    <w:tmpl w:val="90C0BBE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AF414B"/>
    <w:multiLevelType w:val="hybridMultilevel"/>
    <w:tmpl w:val="55868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2F85304"/>
    <w:multiLevelType w:val="hybridMultilevel"/>
    <w:tmpl w:val="ED161E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1404D6"/>
    <w:multiLevelType w:val="hybridMultilevel"/>
    <w:tmpl w:val="62E68B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5342461"/>
    <w:multiLevelType w:val="hybridMultilevel"/>
    <w:tmpl w:val="99CA52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7DF6935"/>
    <w:multiLevelType w:val="hybridMultilevel"/>
    <w:tmpl w:val="AA5E86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A4D354E"/>
    <w:multiLevelType w:val="hybridMultilevel"/>
    <w:tmpl w:val="49686D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A4F78C3"/>
    <w:multiLevelType w:val="hybridMultilevel"/>
    <w:tmpl w:val="324E64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0"/>
  </w:num>
  <w:num w:numId="4">
    <w:abstractNumId w:val="3"/>
  </w:num>
  <w:num w:numId="5">
    <w:abstractNumId w:val="9"/>
  </w:num>
  <w:num w:numId="6">
    <w:abstractNumId w:val="19"/>
  </w:num>
  <w:num w:numId="7">
    <w:abstractNumId w:val="16"/>
  </w:num>
  <w:num w:numId="8">
    <w:abstractNumId w:val="4"/>
  </w:num>
  <w:num w:numId="9">
    <w:abstractNumId w:val="14"/>
  </w:num>
  <w:num w:numId="10">
    <w:abstractNumId w:val="22"/>
  </w:num>
  <w:num w:numId="11">
    <w:abstractNumId w:val="5"/>
  </w:num>
  <w:num w:numId="12">
    <w:abstractNumId w:val="12"/>
  </w:num>
  <w:num w:numId="13">
    <w:abstractNumId w:val="2"/>
  </w:num>
  <w:num w:numId="14">
    <w:abstractNumId w:val="11"/>
  </w:num>
  <w:num w:numId="15">
    <w:abstractNumId w:val="18"/>
  </w:num>
  <w:num w:numId="16">
    <w:abstractNumId w:val="8"/>
  </w:num>
  <w:num w:numId="17">
    <w:abstractNumId w:val="21"/>
  </w:num>
  <w:num w:numId="18">
    <w:abstractNumId w:val="7"/>
  </w:num>
  <w:num w:numId="19">
    <w:abstractNumId w:val="15"/>
  </w:num>
  <w:num w:numId="20">
    <w:abstractNumId w:val="10"/>
  </w:num>
  <w:num w:numId="21">
    <w:abstractNumId w:val="28"/>
  </w:num>
  <w:num w:numId="22">
    <w:abstractNumId w:val="17"/>
  </w:num>
  <w:num w:numId="23">
    <w:abstractNumId w:val="13"/>
  </w:num>
  <w:num w:numId="24">
    <w:abstractNumId w:val="24"/>
  </w:num>
  <w:num w:numId="25">
    <w:abstractNumId w:val="20"/>
  </w:num>
  <w:num w:numId="26">
    <w:abstractNumId w:val="23"/>
  </w:num>
  <w:num w:numId="27">
    <w:abstractNumId w:val="6"/>
  </w:num>
  <w:num w:numId="28">
    <w:abstractNumId w:val="26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70"/>
    <w:rsid w:val="003A56BC"/>
    <w:rsid w:val="00405DA6"/>
    <w:rsid w:val="00456EC9"/>
    <w:rsid w:val="00972270"/>
    <w:rsid w:val="009F0DC3"/>
    <w:rsid w:val="00BC0E09"/>
    <w:rsid w:val="00D4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place"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6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i/>
      <w:i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customStyle="1" w:styleId="LectureNotesNormal">
    <w:name w:val="Lecture Notes Normal"/>
    <w:basedOn w:val="Normal"/>
    <w:pPr>
      <w:ind w:left="360" w:hanging="360"/>
    </w:pPr>
  </w:style>
  <w:style w:type="paragraph" w:customStyle="1" w:styleId="Equations">
    <w:name w:val="Equations"/>
    <w:basedOn w:val="Normal"/>
    <w:pPr>
      <w:spacing w:after="0"/>
      <w:jc w:val="center"/>
    </w:pPr>
  </w:style>
  <w:style w:type="paragraph" w:customStyle="1" w:styleId="Equationnote">
    <w:name w:val="Equation note"/>
    <w:basedOn w:val="Normal"/>
    <w:pPr>
      <w:spacing w:after="0"/>
      <w:ind w:left="1080"/>
    </w:pPr>
  </w:style>
  <w:style w:type="paragraph" w:styleId="BodyTextIndent">
    <w:name w:val="Body Text Indent"/>
    <w:basedOn w:val="Normal"/>
    <w:pPr>
      <w:ind w:left="1440" w:hanging="720"/>
    </w:p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</w:style>
  <w:style w:type="paragraph" w:styleId="BalloonText">
    <w:name w:val="Balloon Text"/>
    <w:basedOn w:val="Normal"/>
    <w:link w:val="BalloonTextChar"/>
    <w:rsid w:val="009F0DC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F0D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6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i/>
      <w:i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customStyle="1" w:styleId="LectureNotesNormal">
    <w:name w:val="Lecture Notes Normal"/>
    <w:basedOn w:val="Normal"/>
    <w:pPr>
      <w:ind w:left="360" w:hanging="360"/>
    </w:pPr>
  </w:style>
  <w:style w:type="paragraph" w:customStyle="1" w:styleId="Equations">
    <w:name w:val="Equations"/>
    <w:basedOn w:val="Normal"/>
    <w:pPr>
      <w:spacing w:after="0"/>
      <w:jc w:val="center"/>
    </w:pPr>
  </w:style>
  <w:style w:type="paragraph" w:customStyle="1" w:styleId="Equationnote">
    <w:name w:val="Equation note"/>
    <w:basedOn w:val="Normal"/>
    <w:pPr>
      <w:spacing w:after="0"/>
      <w:ind w:left="1080"/>
    </w:pPr>
  </w:style>
  <w:style w:type="paragraph" w:styleId="BodyTextIndent">
    <w:name w:val="Body Text Indent"/>
    <w:basedOn w:val="Normal"/>
    <w:pPr>
      <w:ind w:left="1440" w:hanging="720"/>
    </w:p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</w:style>
  <w:style w:type="paragraph" w:styleId="BalloonText">
    <w:name w:val="Balloon Text"/>
    <w:basedOn w:val="Normal"/>
    <w:link w:val="BalloonTextChar"/>
    <w:rsid w:val="009F0DC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F0D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Quantitative Physiology I / Molecular and Cellular Systems</vt:lpstr>
    </vt:vector>
  </TitlesOfParts>
  <Company>Columbia University</Company>
  <LinksUpToDate>false</LinksUpToDate>
  <CharactersWithSpaces>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Quantitative Physiology I / Molecular and Cellular Systems</dc:title>
  <dc:creator>Lance Kam</dc:creator>
  <cp:lastModifiedBy>Columbia University</cp:lastModifiedBy>
  <cp:revision>3</cp:revision>
  <cp:lastPrinted>2005-11-22T20:03:00Z</cp:lastPrinted>
  <dcterms:created xsi:type="dcterms:W3CDTF">2016-11-15T21:01:00Z</dcterms:created>
  <dcterms:modified xsi:type="dcterms:W3CDTF">2019-11-30T21:44:00Z</dcterms:modified>
</cp:coreProperties>
</file>